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나눔고딕" w:hint="eastAsia"/>
          <w:kern w:val="0"/>
          <w:sz w:val="36"/>
          <w:szCs w:val="36"/>
        </w:rPr>
        <w:t>사용상의 주의사항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1. 다음 환자에는 투여하지 말 것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이 약 또는 다른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디히드로피리딘계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약물, 또는 이 약의 구성성분에 과민반응 또는 그 병력이 있는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중증의 간기능장애 환자, 활동성 간질환 환자 또는 설명되지 않는 혈청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상승이 정상 상한치의 3배 이상 지속되는 환자,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담즙분비정지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근병증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임부 또는 임신하고 있을 가능성의 여성 (출산이 가능한 연령의 여성에 투여 시 임신하지 않을 가능성이 높은 경우와 태아에 대한 잠재적인 위험성에 대해 알려주었을 때만 투여한다.)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수유부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근질환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5) 중증의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대동맥판협착증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6) 쇼크환자 (심장성 쇼크 포함)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7) 중증의 저혈압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8) 심근경색 발생 후 1개월 이내인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9)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불안정협심증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10)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글레카프레비르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피브렌타스비르를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중인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2. 다음 환자에는 신중히 투여할 것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1) 중증의 신기능장애환자 (투석을 해야 하는 신부전 환자 포함)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2) 고령자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3) 알코올 중독자 및 상당량의 알코올을 섭취하는 경우 또는 간질환이 있거나 그 병력이 있는 환자 (‘이상반응’항 참조)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다음과 같은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소인이 있는 환자에 대해서는 투여를 시작하기 전에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크레아틴키나아제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(CK) 수준을 측정하여 신중히 투여해야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신기능 손상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신장애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병력이 있는 환자</w:t>
      </w:r>
    </w:p>
    <w:p w:rsidR="00631F98" w:rsidRPr="00631F98" w:rsidRDefault="00631F98" w:rsidP="008D7CF0">
      <w:pPr>
        <w:widowControl/>
        <w:shd w:val="clear" w:color="auto" w:fill="FFFFFF"/>
        <w:tabs>
          <w:tab w:val="left" w:pos="3677"/>
        </w:tabs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갑상샘기능저하증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</w:t>
      </w:r>
      <w:r w:rsidR="008D7CF0">
        <w:rPr>
          <w:rFonts w:asciiTheme="minorEastAsia" w:hAnsiTheme="minorEastAsia" w:cs="굴림" w:hint="eastAsia"/>
          <w:kern w:val="0"/>
          <w:szCs w:val="20"/>
        </w:rPr>
        <w:t>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(3) 유전성 근육이상의 개인병력 또는 가족력이 있는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스타틴계열이나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피브리트계열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사용시 근육 독성의 병력이 있는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(5) 간질환의 병력이 있거나 또는 상당량의 알코올을 섭취하는 경우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(6) 70세를 초과하는 노인으로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횡문근융해증의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소인이 있는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5) 급성 심부전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6) 고혈압위기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7) 경증-중등도의 간기능장애 환자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3. 이상반응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고혈압과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고지혈증의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두 질환을 모두 가지고 있는1,092명의 환자들을 대상으로 이 약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안전성을 평가하기 위한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이중맹검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위약대조시험을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수행한 결과, 이 약에서만 나타나는 특이적인 이상반응은 관찰되지 않았다. 이상반응은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이전에 보고된 것과 유사하였다.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일반적으로, 이 약은 내약성이 좋았다. 대부분에서 이상반응은 경증 혹은 중등도로 나타났다.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대조임상시험에서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이상반응 혹은 실험실적 이상으로 인한 시험의 중단은 위약에서 4.0%,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군에서 5.1%로 나타났다. 아래에 명시된 정보는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개개의 성분에 대한 임상시험 및 시판 후 경험에서 수집된 것을 근거로 한 것이다.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수집된 정보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내약성이 좋다. 고혈압 및 협심증환자에 대한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위약대조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임상시험에서, 가장 흔하게 나타난 이상반응은 다음과 같다.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혈관계: 홍조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(2) 전신: 피로, 부종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심혈관계: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심계항진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(4) 신경계: 어지럼, 두통, 졸음</w:t>
      </w:r>
    </w:p>
    <w:p w:rsidR="00631F98" w:rsidRPr="00631F98" w:rsidRDefault="00631F98" w:rsidP="008D7CF0">
      <w:pPr>
        <w:widowControl/>
        <w:shd w:val="clear" w:color="auto" w:fill="FFFFFF"/>
        <w:tabs>
          <w:tab w:val="left" w:pos="4967"/>
        </w:tabs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(5) 소화기계: 복통, 구역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임상시험에서 이 약과 연관되어 임상적으로 유의한 실험실적 검사 이상은 관찰되지 않았다.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시판 후 비교적 적은 빈도로 관찰된 이상반응은 다음과 같다.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전신: 무력, 권태감, 통증, 체중의 증가/감소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(2) 혈관계: 저혈압,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혈관염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신경계: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근육긴장항진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감각저하/감각이상, 말초신경병증, 실신, 이상미각, 진전,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추체외로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장애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(4) 생식기계: 발기부전,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여성형유방증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(5) 소화기계: 배변습관의 변화, 구강건조, 소화불량 (위염), 치은 비후, 잇몸증식, 췌장염, 구토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(6) 대사/영양: 고혈당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(7) 근골격계: 관절통, 요통, 근육경련, 근육통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(8) 혈액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림프계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백혈구감소증, 혈소판감소증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(9) 정신계: 불면, 기분변화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(10) 호흡기계: 기침, 호흡곤란, 비염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(11) 피부/부속기계: 탈모, 다한증,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자색반병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피부 변색, 두드러기,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독성표피괴사용해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(12) 감각기계: 귀에서 소리가 남, 시각장애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(13) 비뇨기계: 배뇨빈도 증가, 배뇨장애, 야뇨증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(14) 간/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담도계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간염, 황달, 간효소치의 상승 등이 매우 드물게 보고되었으며, 이들의 대부분은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담즙울체성과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관련이 있었다. 입원이 필요할 만큼 중증이었던 일부 경우에서는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사용과 연관이 있다고 보고되었으나, 대부분 많은 경우에서는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인과관계가 불명확하다.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(15) 드물게 가려움증, 발진, 혈관부종,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다형성홍반을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포함한 알레르기반응이 보고되었다.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다른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칼슘채널차단제에서와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마찬가지로, 다음의 이상반응들이 드물게 보고되었는데 이들이 기저질환으로 인한 것인지 약물에 의한 것인지는 구별을 할 수 없었다: 심근경색, 부정맥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서맥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심실빈맥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심방세동 포함),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흉통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4) 기타 다음과 같은 이상반응이 관찰되었다.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심혈관계: 때때로 혈압강하, 동방차단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방실차단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드물게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복부불쾌감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등이 나타날 수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소화기계: 때때로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심와부통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설사, 묽은 변, 변비 등이 나타날 수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피부: 드물게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피부홍통증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반점상 구진성 발진 등이 나타날 수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(4) 기타: 때때로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두중감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열감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내당력저하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쇠약 등이 나타날 수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수집된 정보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일반적으로 내약성이 좋다. 이상반응은 대체로 경미하고 일시적이었다. 이 약과 연관된 이상반응으로 인하여 임상시험 중 투여를 중단한 사례는 2% 미만의 환자에서 발생하였다.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위약 대조 임상시험에서 16,066명의 환자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8,755명 대 위약 투여 군7,311명) 가 중앙값 53주의 기간 동안 약물을 투여 받았으며, 위약 투여군의 4.0%와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투여군의 5.2%에서 이상반응으로 인해 투여를 중단하였다.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위약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대조임상연구에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참여한 환자 중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관련한 가장 흔한 이상반응 (1% 이상) 은 다음과 같다. 아래에 기술된 모든 이상반응이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인과관계가 있는 것은 아니다.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전신: 무력감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감염: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코인두염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대사계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고혈당증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(4) 소화기계: 소화불량, 구역, 복부팽만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헛배부름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), 변비, 설사, 복통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호흡기계: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인후두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통증, 코피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(6) 정신/신경계: 두통, 불면증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(7) 근골격계 및 결합조직: 근육통, 관절통,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사지통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근·골격계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통증,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근육연축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관절종창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(8) 검사: 간기능 검사이상, 혈중 CK 증가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위약대조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임상연구 중 다음과 같은 추가 이상반응이 나타났다. 아래에 기술된 모든 이상반응이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인과관계가 있는 것은 아니다.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정신신경계: 악몽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(2) 안구이상: 시야 흐림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(3) 귀 및 미로: 이명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(4) 소화기계: 구토, 복부 불쾌, 간염, 췌장염, 담즙정체,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담즙정체성황달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간기능 검사치 이상 (혈청 ALT 수치의 상승), 위장염, 장염, 구강건조, 직장출혈,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식도염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트림,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설염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구강궤양,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구내염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담낭통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구순염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위·십이지장궤양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연하곤란,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흑색변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치은출혈,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이급후중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(배설 뒤 남는 통증)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호흡기계: 기관지염, 비염, 폐렴, 호흡곤란. 천식,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비출혈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(6) 신경계: 감각이상 (지각이상), 말초신경병증, 어지럼,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광과민증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졸음, 건망증,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비정상꿈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성욕감소, 감정불안증,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운동협조실조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사경, 안면마비, 과운동증, 우울증,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긴장항진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(7) 근골격계 및 결합조직: 근육경련, 근육피로,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근질환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관절염,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점액낭염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건활막염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근무력증, 목의 통증,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건구축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CK 상승, 혈중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미오글로빈상승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(8) 피부 및 피하조직: 가려움, 발진, 탈모증,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접촉성피부염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피부건조, 발한, 여드름, 두드러기, 습진,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지루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피부궤양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(9) 비뇨생식기계: 발기불능, 요로감염,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빈뇨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방광염, 혈뇨, 배뇨곤란, 신장결석,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야간뇨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부고환염,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유방섬유낭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질출혈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알부민뇨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유방비대, 자궁경부 분비물, 신장염, 요실금, 요 저류,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급박뇨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비정상 사정, 자궁출혈,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착색뇨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(10) 대사 및 영양장애: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저혈당증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고혈당증, 식욕부진, 식욕증진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(11) 전신이상 및 투여부위 이상: 권태감, 혈관부종,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흉통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협심증, 얼굴부종, 열,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경부강직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전신부종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(12) 특수감각: 약시, 이명, 안구건조, 굴절이상,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안출혈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청각상실, 녹내장,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착후각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미각상실, 미각도착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(13) 혈액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림프계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혈소판감소증, 백혈구감소, 빈혈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(14) 내분비: 테스토스테론 저하,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콜린에스테라아제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상승, TSH 상승, ACTH 상승,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알도스테론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저하, 여성형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유방증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(15) 신장: 칼륨상승, BUN상승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(16) 기타: 뇌경색, 동계,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빈맥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(17) 검사: 소변 중 백혈구 양성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4) 위에 명시되지 않은 것으로서 시판 후 다음과 같은 이상반응이 보고된 바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전신 및 투여부위 이상: 가슴통증, 권태감, 피로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근골격계: 관절통,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요통,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건파열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면역매개성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괴사성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근육병증,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등통증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근육염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근육파열,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루푸스양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증후군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(3) 신경계: 감각저하, 이상미각, 기억상실증, 어지럼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(4) 소화기계: 췌장염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피부 및 피하조직: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물집성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발진,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다형홍반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독성표피괴사용해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, 피부점막안 증후군 (스티븐스-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존슨증후군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), 혈관부종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(6) 대사 및 영양장애: 말초부종, 체중증가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(7)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면역계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알레르기 반응 (아나필락시스)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5) 혈장 CK 수치 (정상범위의 3배 이상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증가를 보인 경우는 임상연구에서 다른 HMG-CoA 환원효소 억제제의 경우 3.1% 발생한데 비하여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2.5% 발생하였다. 정상치 </w:t>
      </w: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상한범위의 10배 이상의 수치를 보인 경우는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환자 중 0.4%에서 나타났다. 이 환자 중 0.1%는 근육통, 민감성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쇠약증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등을 보였다.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6) 간에 대한 영향: 이 약 투여 후 간기능 이상, 황달, 전격성 간염, 간염 등의 이상반응이 나타날 수 있으므로 정기적으로 검사를 실시하는 등 충분히 관찰하여 이상이 인정되는 경우에는 투여를 중지하고 적절한 처치를 한다. 다른 HMG-CoA 환원효소 억제제와 같이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혈청아미노전달효소의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 (정상상한치의 3배 이상) 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환자에서 보고되었다. 이러한 상승은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용량비례적이었고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가역적이었다. 치료 시작 전 간기능 검사를 해야 하며, 그 이후 주기적으로 간기능 검사를 하여야 한다. 간손상의 증상증후를 보이는 환자의 경우 간기능 검사를 실시하여야 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증가를 보이는 환자는 이러한 비정상치가 해소될 때까지 모니터링하여야 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임상시험에서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mg, 20 mg, 40 mg, 80 mg 투여 후 간기능에 대한 모니터링이 이루어졌다. 혈청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계속적인 증가 [정상상한치 (ULN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3배 이상 증가가 2번이상 나타남]가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환자의0.7%에서 발생하였다 (10 mg투여군 0.2%, 20 mg투여군0.2%, 40 mg투여군0.6%, 80 mg투여군 2.3%). 혈청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증가는 일반적으로 황달, 다른 임상 증상 또는 증후와 연관되지 않았다.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용량감소, 일시적인 투여중단 또는 투여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중단시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투여전의 수치로 회복되었다. 대부분의 환자들은 후유증 없이 감소된 용량의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아토르바스타틴으로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치료를 계속하였다.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아미노전달효소치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ALT 혹은 AST가 정상상한치의3배 이상 증가한 경우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투여용량을 감소시키거나 투여를 중단하여야 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알코올남용자 (과다복용자) 또는 간질환의 병력이 있는 사람의 경우 신중하게 투여하여야 한다. 활동성 간질환 환자 또는 설명되지 않는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혈청아미노전달효소치의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상승이 지속되는 환자에는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투여하지 않는다.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7) 근골격계에 대한 영향: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투여한 환자에서 근육통 및 단순한 근질환이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보고된바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있다. CK치의 상승이 나타나는 모든 환자에서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근질환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(CK가 정상상한치의 10배 이상 증가하며 근육통 확산,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근긴장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근위약등이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나타나는 것으로 정의됨) 이 발생하는지 고려하여야 한다. 설명되지 않는 근육통,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근긴장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근위약이 나타나는 환자는 즉시 보고하도록 환자에게 교육하여야 한다 (특히 무기력 혹은 열을 동반하는 경우).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CK치가 현저하게 상승하거나, 근질환이 진단 또는 의심되는 경우 투여를 중단하여야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사용과 관련된 자가면역 근육병증인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면역매개성괴사성근육병증이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드물게 보고되었다.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면역매개성괴사성근육병증은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근위근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약화 및 혈중 CK의 증가가 나타나며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중지 이후에도 그 증상이 지속된다. 또한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근육생검에서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유의한 감염을 동반하지 않는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괴사성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근육병증을 보이며 면역억제제 투여 시 증상이 개선된다.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이 약물들의 대부분은 CYP-450 3A4 대사 및/혹은 약물수송을 저해한다.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CYP-450 3A4에 의해 생체내 변환된다.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마크로라이드계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항생제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아졸계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항진균제는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약과 병용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신중하여야 한다. 이 계열에서 약물치료 동안 근육병증의 위험은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피브린산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유도체,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엘바스비르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그라조프레비르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텔라프레비르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보세프레비르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HIV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사퀴나비르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로피나비르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티프라나비르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다루나비르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포삼프레나비르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포삼프레나비르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복합제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포함), 니코틴산,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아졸계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항진균제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콜키신과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 시 </w:t>
      </w: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증가된다.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피브릭산유도체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혹은 지질변화용량의 니코틴산과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병용투여를 고려하는 의사는 치료상의 유익성이 위험성을 상회하는지를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주의깊게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고려하여야 하며, 근육통,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근긴장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근위약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(특히, 투여초기 1달 및 두 가지 약물 중 한 약물의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용량증량을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위한 적정기간) 과 관련된 증상 및 증후를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주의깊게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모니터링해야 한다. 따라서 위에서 기술된 약물들과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시작용량 및 유지용량의 감소가 고려되어야 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퓨시드산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경구제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병용투여하지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않는다. 주기적인 CK치 측정이 고려되어야 하지만, 모니터링이 심각한 근육병증의 발생을 막는다는 확신은 없다. 이 약은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성분에 의해 CK를 상승시킬 수 있다. 이 계열의 다른 약물들과 마찬가지로,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미오글로빈뇨증으로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인한 이차적 신기능부전이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횡문근융해증을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유발하는 경우가 드물게 나타났다. 신기능 부전에 대한 병력은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발현의 위험인자가 될 수 있다. 이런 환자들에게 근골격계 영향에 대한 면밀한 모니터링이 도움이 될 수 있다. 급성 및 심각하게 여겨지는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근질환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미오글로빈뇨증으로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인한 이차적 신기능부전의 발전을 쉽게 하는 위험인자 (중증의 급성간염, 저혈압, 주로 외과수술, 외상, 심각한 대사장애, 내분비 및 전해질 장애, 제어되지 않는 발작) 가 있는 환자는 이 약의 투여를 일시적으로 보류 또는 중단하여야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8)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출혈성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뇌졸중: 관상동맥 심질환의 병력은 없으나 최근 6개월내 뇌졸중이나 일과성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허혈발작을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경험했던 4,731명의 환자를 대상으로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mg을 시작용량으로 투여한 임상시험에 대한 하나의 임상시험 후 분석 (post - hoc analysis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위약군과 비교하여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 투여군에서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출혈성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뇌졸중의 발현이 높다는 보고가 있었다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55명 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33명). 이는 임상시험 시작 당시 이미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출혈성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뇌졸중이 있던 환자군에서 그 위험성이 높아진 것으로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보여진다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7명 대 위약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2명). 그러나,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 투여 환자에서 전체 뇌졸중(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265명 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311명) 발생 빈도와 관상동맥 심질환의 발병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123명 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204명) 은 위약군보다 더 적게 나타났다.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9) 내분비계 기능: HbA1c 및 공복 혈청 혈당치의 증가가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포함한HMG-CoA 저해제의 병용투여시 나타났다. 그러나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스타틴제제의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투여로 인한 혈관위험의 감소의 유익성이 고혈당의 위험성을 상회한다.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10) 국내에서 시판 후 6년 동안 실시한 사용성적 조사결과는 다음과 같다.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일반사용성적조사: 11,535명을 대상으로 실시한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조사결과 이상반응의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발현빈도율은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인과관계와 상관없이 1.78% (205례/11,535례) 로 보고되었다. 이 중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임상시험에서 나타나지 않았던 새로운 이상반응으로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과중성지방혈증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7례, 안면홍조 4례,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비단백질소증가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고요산혈증이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각각 3례,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치은비후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1례가 보고되었다.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장기사용성적조사: 12주 이상 이 약을 복용한 2,625명을 대상으로 실시한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장기조사결과 이상반응의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발현빈도율은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인과관계와 상관없이 3.70% (97례/2,625례) 로 보고되었다. 이중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임상시험에서 나타나지 않았던 새로운 이상반응으로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고요산혈증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7례, 안면홍조, 저체온증, 비단백질소 증가가 각각 1례씩 보고되었다.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11) 일부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스타틴계열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약물과 관련하여 다음과 같은 이상반응이 보고된 바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(1) 정신신경계: 수면장애 (불면 및 악몽 포함), 기억상실, 우울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(2) 호흡기계: 특히 장기투여시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폐질환과 같은 예외적 사례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(3) 비뇨생식기계: 성적 기능이상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(4) 내분비계: 당뇨병: 빈도는 위험인자 존재여부에 따라 다르다. (공복혈당 5.6-6.9 mmol/L, BMI&gt;30 kg/m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perscript"/>
        </w:rPr>
        <w:t>2</w:t>
      </w:r>
      <w:r w:rsidRPr="00631F98">
        <w:rPr>
          <w:rFonts w:asciiTheme="minorEastAsia" w:hAnsiTheme="minorEastAsia" w:cs="굴림" w:hint="eastAsia"/>
          <w:kern w:val="0"/>
          <w:szCs w:val="20"/>
        </w:rPr>
        <w:t>, 중성지방수치 상승, 고혈압)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사용과 관련하여 시판 후 인지장애가 드물게 보고되었다. (예, 기억력감퇴, 건망증, 기억상실증, 기억장애, 혼동) 이러한 인지장애는 모든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계열 약물에서 보고되었다. 이러한 보고들은 일반적으로 심각하지 않고 약물 사용중단 후 가역적이며, 증상발생 시점 (1일-수 년) 및 증상개선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중간값이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3주) 은 편차가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4. 일반적 주의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정보에 근거하여 볼 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운전 또는 기계사용능력을 저하시키지는 않는 것으로 보인다.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심부전환자에 대한 투여: 허혈성 병인이 없는 뉴욕심장학회(NYHA) III, IV등급의 심부전환자에 대한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장기간,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위약대조시험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(PRAISE-2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위약과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비교시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심부전의 악화율에 유의적인 차이가 없음에도 불구하고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폐부종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보고의 증가와 연관이 있었다.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간기능 손상환자에 대한 투여: 모든 칼슘채널차단제와 마찬가지로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반감기는 간기능부전환자에서 길어졌으며, 이들 환자에 대한 권장용량은 확립되지 않았다. 그러므로, 이런 환자들은 주의하여 투여한다.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3) 혈장농도 반감기가 길어 투여를 중지한 후에도 완만한 혈압강하작용이 나타나므로, 투여 중지 후 다른 혈압강하제를 투여하는 경우에는 용량 및 투여간격에 주의하고 환자의 상태를 관찰하면서 신중히 투여한다.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효과발현이 천천히 나타나므로 응급 치료를 요하는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불안정형협심증에는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효과를 기대할 수 없다.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성별: 여성의 경우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농도는(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는 약20%높고 AUC는 약10% 더 낮음) 남성과 차이가 있다. 이러한 차이점은 임상적 유의성이 없었으며 남성과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여성간에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지질에 대한 효과는 임상적으로 별 차이가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신부전: 신장질환은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 혹은 LDL-콜레스테롤 저하효과에 영향을 미치지 않았다.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간부전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혈장농도는 만성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알콜성간질환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(Child-Pugh Class B) 환자의 경우 현저하게(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가 약 16배, AUC가 약11배) 증가하였다. 이 약을 포함하여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계열 약물을 </w:t>
      </w: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복용한 환자에서 치명적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비치명적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간부전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관련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시판후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사례들이 드물게 보고되었다. 이 약 투여 중 임상적 증상이 있는 심각한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간손상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및/또는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고빌리루빈혈증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또는 황달이 발생한 경우 즉시 치료를 중단한다. 다른 병인이 발견되지 않은 경우 이 약을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재투여하지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않는다.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간염: 이 약의 투여 후 전격성 간염 등의 간염이 나타날 수 있으므로 오심, 구토, 권태감 등의 증상이 발생하는 경우에는 투여를 중지하고 의사에게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알려야한다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5)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가임여성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이 약을 투여 받는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가임여성은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약물을 투여 받는 동안 적절한 피임법을 사용해야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6)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폐질환: 일부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스타틴계열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약물과 관련하여 특히 장기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폐질환과 같은 이례적인 사례가 보고된 바 있다. 발현되는 양상으로는 호흡곤란, 비생산성 기침 및 일반적인 건강의 악화(피로, 체중감소 및 발열)가 포함될 수 있다. 환자가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간질성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폐질환으로의 발전이 의심될 경우에는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 치료를 중단하여야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7) 다른 약물과의 병용투여: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투여용량은 10 mg을 초과해서는 안된다.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8) 당뇨병: 향후 당뇨병이 발생할 위험성이 높은 몇몇 환자들에게서 적절한 당뇨병 치료를 요하는 과혈당증을 유발할 수 있다는 몇 가지 증거가 제시되었다. 그러나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제제의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혈관성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위험성 감소효과는 이러한 위험성을 상회하므로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치료 중단의 사유가 될 수 없다. 위험성이 있는 환자 (공복혈당 5.6-6.9 mmol/L, BMI&gt;30 kg/m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perscript"/>
        </w:rPr>
        <w:t>2</w:t>
      </w:r>
      <w:r w:rsidRPr="00631F98">
        <w:rPr>
          <w:rFonts w:asciiTheme="minorEastAsia" w:hAnsiTheme="minorEastAsia" w:cs="굴림" w:hint="eastAsia"/>
          <w:kern w:val="0"/>
          <w:szCs w:val="20"/>
        </w:rPr>
        <w:t>, 중성지방수치 상승, 고혈압) 들은 진료지침에 따라 임상적 및 실험실적 수치 모니터링을 실시해야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5. 상호작용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mg을 건강한 지원자에 투여하여 실시한 약물-약물 상호작용 시험결과, 이 두 약물의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약동학은 영향을 받지 않았다.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존재하에서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는 영향을 받지 않았으나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91%: 90%신뢰구간, 80-103%), AUC는 18%정도 증가 (AUC: 1.18, 90% 신뢰구간, 109-127%) 하였다. 다른 약물들과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복합제와의 약물상호작용에 대한 연구는 없으나,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개개 약물에 대한 연구는 아래와 같이 수행되었다.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티아지드계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이뇨제, 알파차단제, 베타차단제, ACE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작용시간이 긴 질산염 제제, 니트로글리세린 설하정,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비스테로이드성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소염진통제 (NSAID), 항생제, 경구 혈당강하제와 병용 시 안전하였다.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사람혈장을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이용한 실험실적 자료는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페니토인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인도메타신의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단백결합에 영향을 미치지 않는다는 것을 보여준다.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20명의 건강한 지원자에서 240 mL의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자몽쥬스와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단회병용투여는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약동학에 유의한 영향을 미치지 않았다. 이 시험에서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주 대사경로인 </w:t>
      </w: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CYP3A4에서의 유전적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다형성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(genetic polymorphism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영향평가는 이루어지지 않았다. 따라서,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자몽이나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일부 환자에서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생체이용률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증가로 인한 혈압강하효과의 증가가 나타날 수 있으므로, 병용투여를 권장하지 않는다.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단트롤렌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(주입): IV를 통해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베라파밀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단트롤렌을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투여하는 동물실험에서 치명적인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심실연축이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지속적으로 관찰되었다.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단트롤렌의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동시투여는 피해야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5)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바클로펜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혈압강하 효과를 증가시키므로, 필요한 경우 혈압과 용량을 주의하여 투여한다.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6)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CYP3A4 저해제이다.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약과 병용투여시 저혈압의 위험이 증가하였다. 이 약과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환자를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주의깊게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관찰하는 것이 권장된다.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7) 다른 약물들이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미치는 영향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시메티딘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약동학에 영향이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알루미늄/마그네슘 (제산제): 알루미늄/마그네슘 제산제와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단회용량의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약동학에 유의한 영향이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실데나필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원발성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고혈압환자에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실데나필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100 mg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단회용량의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약동학적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파라메타에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영향을 미치지 않았다.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실데나필을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 시, 각 약물은 단독적으로 각각의 혈압저하효과를 나타낸다.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(4) CYP3A4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고령의 (만 69세-87세) 고혈압환자에서 1일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딜티아젬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180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5 mg의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전신노출을 57 %까지 증가시켰다. 건강한 지원자 (만 18-43세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에리트로마이신의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전신노출을 유의적으로 변화시키지 않았다 (AUC의 22 % 증가). 비록, 이에 대한 임상적 연관성은 밝혀지지는 않았으나, 고령자에서 약동학적 변화가 더 나타날 수 있다. 강력한 CYP3A4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케토코나졸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이트라코나졸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 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 농도를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딜티아젬과의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병용투여에서 나타난 것보다 더 높은 수치로 증가시킬 가능성은 배제할 수 없다.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CYP3A4 저해제와 병용투여시 주의하여 투여한다. 그러나, 이런 약물상호 작용으로부터 기인된 이상반응은 보고된 바 없다.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CYP3A4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유도제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CYP3A4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유도제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세인트 존스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워트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(hypericum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perforatum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카르바마제핀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페노바르비탈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페니토인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포스페니토인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프리미돈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 와의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혈장농도를 변화시킬 수 있다. 그러므로 특히 강력한 CYP3A4 유도제와 병용투여 하는 기간 및 그 이후에는 혈압을 모니터링 하고 용량 조절을 고려해야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8)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다른 약물들에 미치는 영향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mg을 반복 병용투여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항정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약동학적 파라메터에 유의적인 변화가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정상인 지원자에게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혈청디곡신의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수치 혹은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신장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클리어런스에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변화가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에탄올(알코올): 10 mg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반복투여시 알코올의 약동학에 유의적인 변화가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-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프로트롬빈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반응시간에 영향이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(5)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신장이식 환자를 대상으로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약을 병용투여한 여러 연구에서, 이 약과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최저혈중농도는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변화가 없거나 40%까지 증가하는 것으로 보고되었다.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(6)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이 약과 병용투여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혈중농도 증가 위험이 있으므로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치료 받는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환자에게 이 약 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혈중농도를 모니터링하고,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투여량을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적절하게 조절하여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타크로리무스의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독성을 피하도록 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(7) mTOR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mTOR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시롤리무스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템시롤리무스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에베로리무스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)는 CYP3A의 기질이다.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약한 CYP3A저해제이며, mTOR 억제제와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mTOR억제제에 대한 노출을 증가시킬 수 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(8)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다회용량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단독투여시와 비교하여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노출을 77% 증가시켰다.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심바스타틴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1일 최대 투여용량은 20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mg까지 이다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>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다른 HMG-CoA환원효소저해제로 치료 중에 면역억제제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피브릭산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유도체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겜피브로질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아졸계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항진균제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혹은 지질변화 용량의 니코틴산 등과 병용투여 시 근질환의 위험이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증가 되었다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. 이런 종류의 많은 약들이 CYP-450 3A4의 대사 그리고/혹은 약물수송을 저해한다.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CYP- 450 3A4에 의해 대사된다.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2) 이 약은 P-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글리코프로테인의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기질이므로 P-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글리코프로테인의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) 와 병용투여시 이 약의 생체 이용율을 증가시켜 근질환과 같은 이상반응의 위험성을 증가시킨다.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이 약을 CYP-450 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마크로라이드계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항생제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아졸계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항진균제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HIV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 와 투여할 경우 이 약의 혈중농도가 증가할 수 있으므로 신중하게 투여하여야 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CYP-450 3A4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유도제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페니토인</w:t>
      </w:r>
      <w:proofErr w:type="spellEnd"/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영향에 대하여는 알려진 바 없다.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4) 이 약을 CYP-450 3A4 유도제와 병용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에파비렌즈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 농도를 감소시킬 수 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이중 상호작용의 기전 때문에 (CYP-450 3A4 유도 및hepatocyte uptake transporter OATP1B1 억제),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 투여하는 경우 동시에 투여하는 것이 권장되며,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리팜피신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후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늦게 투여하면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 농도가 유의하게 감소한다.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>5) 이 약과 혈압강하제 또는 혈당강하제 또는 에스트로겐 대체요법을 병용한 임상연구에서 임상적으로 유의할 만한 상호작용은 관찰되지 않았다. 아직 모든 특이한 제제와의 상호작용에 대해 연구된 것은 아니다.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6) 약물수송체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그 대사체는 OATP1B1 수송체의 기질이다. OATP1B1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는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생체이용률을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증가시킬 수 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5.2 mg/kg/day와의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노출을 증가시켰다(AUC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비율 :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8.7).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시클로스포린과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투여용량은 10 mg을 초과해서는 안된다.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7) 유방암 내성 단백질(BCRP) </w:t>
      </w:r>
      <w:proofErr w:type="spellStart"/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: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BCRP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(예,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엘바스비르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그라조프레비르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)와 병용 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 농도가 증가하여 근육병증의 위험이 증가할 수 있으므로,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용량 조절이 필요할 수 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엘바스비르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그라조프레비르와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 투여하는 경우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 농도가 1.9배까지 증가한다. 따라서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엘바스비르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그라조프레비르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함유제제를 이 약과 함께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환자의 경우,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용량은 1일 20 mg을 초과해서는 안된다(‘이상반응’항 참조).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8)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수회용량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항정상태의 혈장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농도는 영향을 받지 않는다. 그러나, 80 mg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수회용량 병용 투여 후 항정상태의 혈장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AUC가 증가하였다(AUC 비율: 1.15).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디곡신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 환자의 경우 적절히 모니터링하여야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9)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건강인의 경우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 450 3A4 억제제로 알려진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(1일 1회 500 mg)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(1일 2회, 1일 500 mg) 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혈장농도가 증가하였다. 그러므로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클래리트로마이신을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투여하는 환자에서 이 약 20 mg 이상을 투여하는 경우 주의해야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10) 경구피임제: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노르에티스테론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에티닐에스트라디올을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함유하는 경구피임제와 이 약의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노르에테리스테론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에티닐에스트라디올의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AUC가 증가하였다(각각 AUC 비율: 1.28 및 AUC 비율: 1.19). 따라서,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여성이 경구피임제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선택시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사항을 고려하여야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콜레스티폴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콜레스티폴과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혈장농도가 낮아졌다(농도비율: 0.74). 그러나 이 약물들을 단독으로 투여하는 경우보다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콜레스티폴을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병용투여하는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경우 LDL-콜레스테롤 저하효과는 증가하였다.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12) 제산제: 이 약과 마그네슘 그리고 수산화알루미늄을 함유하는 경구용 제산제 (antacid) 현탁액과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AUC가 감소하였다(AUC 비율: 0.66). 그러나, LDL-콜레스테롤의 감소에는 영향이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와르파린과의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경구 항응고제 효과와 출혈의 위험도를 증가시켰다. INR의 모니터링을 더 자주 하여 경구 항응고제의 용량 조절 여부를 결정해야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14)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시메티딘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시메티딘과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 약의 상호작용연구에서 상호작용은 확인되지 않았다.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15) 안티피린: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안티피린의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약물동태에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영향을 미치지 않기 때문에 같은 CYP-450 동종효소를 경유하여 대사되는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약제들과의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상호작용은 기대되지 않는다.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16)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아지트로마이신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(1일 1회 10 mg) 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아지트로마이신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(1일 1회 500 mg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혈장농도에 영향을 주지 않았다.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17)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건강한 지원자에 대한 약물-약물 상호작용시험에서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 mg과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AUC가 증가하였으나(AUC 비율: 1.18), 임상적으로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의미있는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결과는 아니었다.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18)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테르페나딘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테르페나딘의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테르페나딘의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약물동태에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임상적으로 유의적인 영향이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19)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CYP 450 3A4를 저해하는 것으로 알려진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프로테아제저해제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(예, lopinavir, nelfinavir, ritonavir, saquinavir) 와의 병용투여는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혈장농도를 2-5배 증가시키는 것과 연관이 있는 것으로 나타났다.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AUC는 이 약 단독투여와 비교하여 간염C 프로테아제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텔라프레비르와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마찬가지로 몇몇 HIV 프로테아제 억제제와 이 약의 병용 투여로 현저하게 증가되었다. 그러므로 HIV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티프라노비르와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 또는 간염C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텔라프레비르를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투여하는 환자에게 이 약의 병용은 피해야 한다. HIV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로피나비르와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병용요법으로 투여하는 환자에게 이 약을 처방할 때 주의하여야 하고 가장 낮은 용량을 사용해야 한다. HIV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프로테아제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억제제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사퀴나비르와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다루나비르와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포삼프레나비르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또는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포삼프레나비르와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리토나비르를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병용요법으로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환자에는, 이 약 용량이 20 mg을 넘어서는 안되며 주의하여 사용해야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넬피나비르를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HIV 환자에서, 이 약의 치료는 40 mg을 제한되고, 이 약의 필요 최소 용량이 적용될 수 있게 적절한 임상평가가 권장된다.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보세프레비르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800 mg, 1일 3회를 7일간 투여하고 7일째 이 약 40 mg, 1일 1회를 병용투여시 이 약의 AUC와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가 증가하였다(AUC 비율 2.3,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비율 2.7).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보세프레비르를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환자는 이 약 용량이 1일 40 mg를 초과해서는 안된다.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20)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딜티아젬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(40 mg) 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딜티아젬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(240 mg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을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 농도가 더 높게 나타났다.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이트라코나졸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(20-40 mg) 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이트라코나졸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(200 mg) 과의 병용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AUC증가와 연관되었다. 그러므로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이트라코나졸을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투여받는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환자에서 이 약 20 mg 이상을 투여하는 경우 주의해야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하나이상의 CYP3A4를 억제하는 성분을 함유하고 있으며, 이는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섭취량이 지나칠 경우 (하루 1L 이상)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혈중 농도를 증가시킬 수 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일정량의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자몽주스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(하루에 250 mL 한잔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영향은 아주 적으며 (HMG-CoA 환원효소의 AUC 억제작용을 13 % 증가), 임상적으로 무관하다.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23)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퓨시드산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경구제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): 비록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퓨시드산과의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약물상호작용에 대한 시험은 실시되지 않았지만, 이 두 약물을 병용투여한 시판 후 경험에서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같은 중증의 근육이상이 보고되었다. 이런 환자는 면밀히 모니터링하여야 하고,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투여를 일시적으로 중단한다.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24)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콜키신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비록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콜키신의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약물상호작용에 대한 시험은 수행되지 않았지만,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콜키신의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병용투여에서 근질환이 보고되었다. 따라서,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콜키신의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병용투여시 주의하여 투여한다.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25) 기타: 임상시험에서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항고혈압약물들 및 에스트로겐 대체요법 약물들과 임상적으로 유의한 상호작용 없이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병용투여되었다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. 특정 약물과의 약물상호작용에 대한 연구는 시행되지 않았다.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26)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겜피브로질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겜피브로질과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HMG-CoA 환원효소 저해제를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병용투여하였을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근병증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횡문근융해증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위험성이 증가하기 때문에 병용투여는 피해야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27) 다른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피브레이트계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약물: HMG-CoA 환원효소 저해제와 다른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피브레이트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제제를 동시에 복용하였을 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근병증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위험성이 증가하였다.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28) 니코틴산: 니코틴산과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병용투여하였을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때 골격근 효과 위험성이 증가될 수 있으므로,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용량 감소를 고려해야 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13" w:left="282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29) 병용약물이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약동학에 미치는 영향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병용약물의 약동학에 미치는 영향을 아래의 표에 요약하였다.</w:t>
      </w:r>
    </w:p>
    <w:tbl>
      <w:tblPr>
        <w:tblW w:w="0" w:type="auto"/>
        <w:tblInd w:w="2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  <w:gridCol w:w="1984"/>
        <w:gridCol w:w="1134"/>
        <w:gridCol w:w="1103"/>
      </w:tblGrid>
      <w:tr w:rsidR="00631F98" w:rsidRPr="00631F98" w:rsidTr="007E16D9">
        <w:tc>
          <w:tcPr>
            <w:tcW w:w="94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병용약물이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아토르바스타틴의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약동학에 미치는 영향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병용약물 및 투여용량</w:t>
            </w:r>
          </w:p>
        </w:tc>
        <w:tc>
          <w:tcPr>
            <w:tcW w:w="4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아토르바스타틴</w:t>
            </w:r>
            <w:proofErr w:type="spellEnd"/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용량 (mg)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AUC 비율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&amp;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C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bscript"/>
              </w:rPr>
              <w:t>max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비율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&amp;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시클로스포린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5.2 mg/kg/day, 안정적인 용량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1회를 28일간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8.7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10.7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티프라나비르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500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200 mg 1일 2회, 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10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9.4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8.6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텔라프레비르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750 mg 매 8시간마다, 10일간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20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7.9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10.6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보세프레비르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800 mg 1일 3회, 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2.7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로피나비르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400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100 mg 1일 2회, 14일간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20 mg 1일 1회, 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5.9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4.7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#, ‡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사퀴나비르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400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400 mg 1일 2회, 15일간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40 mg 1일 1회, 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3.9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4.3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클래리트로마이신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500 mg 1일2회, 9일간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80 mg 1일 1회, 8일간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4.5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5.4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다루나비르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300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100 mg 1일 2회, 9일간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3.4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2.2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lastRenderedPageBreak/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이트라코나졸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200 mg 1일 1회, 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3.3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1.20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포삼프레나비르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700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100 mg 1일 2회, 14일간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2.8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포삼프레나비르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1400 mg 1일2회, 14일간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4.0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넬피나비르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1250 mg 1일 2회, 14일간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28일간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1.74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2.2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자몽주스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, 240 mL 1일 1회*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1.37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1.16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딜티아젬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240 mg 1일 1회, 28일간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1.51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1.00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에리트로마이신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500 mg 1일 4회, 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10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1.33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1.38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암로디핀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 mg,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80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1.18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0.91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시메티딘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300 mg 1일 4회, 2주간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2주간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0.89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콜레스티폴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 g 1일 2회, 24주간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40 mg 1일 1회, 8주간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NA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0.74**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마록스티시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®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30 mL 1일 4회, 17일간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15일간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0.66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0.67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에파비렌즈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600 mg 1일 1회, 14일간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mg, 3일간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0.59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1.01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리팜피신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600 mg 1일 1회, 7일간 투여 (병용투여)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1.12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2.9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리팜피신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600 mg 1일 1회, 5일간 투여 (개별적으로 투여)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0.20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0.60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겜피브로질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600 mg 1일2회, 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1.35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1.00</w:t>
            </w:r>
          </w:p>
        </w:tc>
      </w:tr>
      <w:tr w:rsidR="00631F98" w:rsidRPr="00631F98" w:rsidTr="007E16D9">
        <w:tc>
          <w:tcPr>
            <w:tcW w:w="5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페노피브레이트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160 mg 1일 1회, 7일간 투여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40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631F98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1.02</w:t>
            </w:r>
          </w:p>
        </w:tc>
      </w:tr>
      <w:tr w:rsidR="00631F98" w:rsidRPr="00631F98" w:rsidTr="002B0837">
        <w:tc>
          <w:tcPr>
            <w:tcW w:w="94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  <w:vertAlign w:val="superscript"/>
              </w:rPr>
              <w:t>&amp;</w:t>
            </w:r>
            <w:r w:rsidRPr="00631F98">
              <w:rPr>
                <w:rFonts w:hint="eastAsia"/>
              </w:rPr>
              <w:t xml:space="preserve"> </w:t>
            </w:r>
            <w:proofErr w:type="spellStart"/>
            <w:r w:rsidRPr="00631F98">
              <w:rPr>
                <w:rFonts w:hint="eastAsia"/>
              </w:rPr>
              <w:t>아토르바스타틴</w:t>
            </w:r>
            <w:proofErr w:type="spellEnd"/>
            <w:r w:rsidRPr="00631F98">
              <w:rPr>
                <w:rFonts w:hint="eastAsia"/>
              </w:rPr>
              <w:t xml:space="preserve"> 단독투여시 대비 </w:t>
            </w:r>
            <w:proofErr w:type="spellStart"/>
            <w:r w:rsidRPr="00631F98">
              <w:rPr>
                <w:rFonts w:hint="eastAsia"/>
              </w:rPr>
              <w:t>아토르바스타틴과</w:t>
            </w:r>
            <w:proofErr w:type="spellEnd"/>
            <w:r w:rsidRPr="00631F98">
              <w:rPr>
                <w:rFonts w:hint="eastAsia"/>
              </w:rPr>
              <w:t xml:space="preserve"> 병용약물 투여시의 비율.</w:t>
            </w:r>
          </w:p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  <w:vertAlign w:val="superscript"/>
              </w:rPr>
              <w:t>#</w:t>
            </w:r>
            <w:r w:rsidRPr="00631F98">
              <w:rPr>
                <w:rFonts w:hint="eastAsia"/>
              </w:rPr>
              <w:t xml:space="preserve"> 임상적 유의성은 3. 이상반응 및 5. 상호작용 참고.</w:t>
            </w:r>
          </w:p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</w:rPr>
              <w:t xml:space="preserve">* 과도한 </w:t>
            </w:r>
            <w:proofErr w:type="spellStart"/>
            <w:r w:rsidRPr="00631F98">
              <w:rPr>
                <w:rFonts w:hint="eastAsia"/>
              </w:rPr>
              <w:t>자몽주스</w:t>
            </w:r>
            <w:proofErr w:type="spellEnd"/>
            <w:r w:rsidRPr="00631F98">
              <w:rPr>
                <w:rFonts w:hint="eastAsia"/>
              </w:rPr>
              <w:t xml:space="preserve"> 섭취(≥ 750 mL-1.2 L/day)시, </w:t>
            </w:r>
            <w:proofErr w:type="spellStart"/>
            <w:r w:rsidRPr="00631F98">
              <w:rPr>
                <w:rFonts w:hint="eastAsia"/>
              </w:rPr>
              <w:t>아토르바스타틴의</w:t>
            </w:r>
            <w:proofErr w:type="spellEnd"/>
            <w:r w:rsidRPr="00631F98">
              <w:rPr>
                <w:rFonts w:hint="eastAsia"/>
              </w:rPr>
              <w:t xml:space="preserve"> AUC(AUC 비율: 2.5)가 증가됨이 보고되었다.</w:t>
            </w:r>
          </w:p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</w:rPr>
              <w:t xml:space="preserve">** 약물투여의 8-16 시간 후에 </w:t>
            </w:r>
            <w:proofErr w:type="spellStart"/>
            <w:r w:rsidRPr="00631F98">
              <w:rPr>
                <w:rFonts w:hint="eastAsia"/>
              </w:rPr>
              <w:t>단회</w:t>
            </w:r>
            <w:proofErr w:type="spellEnd"/>
            <w:r w:rsidRPr="00631F98">
              <w:rPr>
                <w:rFonts w:hint="eastAsia"/>
              </w:rPr>
              <w:t xml:space="preserve"> 채취한 시료에 근거한 비율</w:t>
            </w:r>
          </w:p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  <w:vertAlign w:val="superscript"/>
              </w:rPr>
              <w:t>†</w:t>
            </w:r>
            <w:proofErr w:type="spellStart"/>
            <w:r w:rsidRPr="00631F98">
              <w:rPr>
                <w:rFonts w:hint="eastAsia"/>
              </w:rPr>
              <w:t>리팜피신의</w:t>
            </w:r>
            <w:proofErr w:type="spellEnd"/>
            <w:r w:rsidRPr="00631F98">
              <w:rPr>
                <w:rFonts w:hint="eastAsia"/>
              </w:rPr>
              <w:t xml:space="preserve"> 이중 상</w:t>
            </w:r>
            <w:bookmarkStart w:id="0" w:name="_GoBack"/>
            <w:bookmarkEnd w:id="0"/>
            <w:r w:rsidRPr="00631F98">
              <w:rPr>
                <w:rFonts w:hint="eastAsia"/>
              </w:rPr>
              <w:t xml:space="preserve">호작용 기전 때문에 </w:t>
            </w:r>
            <w:proofErr w:type="spellStart"/>
            <w:r w:rsidRPr="00631F98">
              <w:rPr>
                <w:rFonts w:hint="eastAsia"/>
              </w:rPr>
              <w:t>아토르바스타틴과</w:t>
            </w:r>
            <w:proofErr w:type="spellEnd"/>
            <w:r w:rsidRPr="00631F98">
              <w:rPr>
                <w:rFonts w:hint="eastAsia"/>
              </w:rPr>
              <w:t xml:space="preserve"> </w:t>
            </w:r>
            <w:proofErr w:type="spellStart"/>
            <w:r w:rsidRPr="00631F98">
              <w:rPr>
                <w:rFonts w:hint="eastAsia"/>
              </w:rPr>
              <w:t>리팜피신을</w:t>
            </w:r>
            <w:proofErr w:type="spellEnd"/>
            <w:r w:rsidRPr="00631F98">
              <w:rPr>
                <w:rFonts w:hint="eastAsia"/>
              </w:rPr>
              <w:t xml:space="preserve"> 병용투여시 동시에 투여하는 것이 권장되며, </w:t>
            </w:r>
            <w:proofErr w:type="spellStart"/>
            <w:r w:rsidRPr="00631F98">
              <w:rPr>
                <w:rFonts w:hint="eastAsia"/>
              </w:rPr>
              <w:t>리팜피신</w:t>
            </w:r>
            <w:proofErr w:type="spellEnd"/>
            <w:r w:rsidRPr="00631F98">
              <w:rPr>
                <w:rFonts w:hint="eastAsia"/>
              </w:rPr>
              <w:t xml:space="preserve"> 투여 후 </w:t>
            </w:r>
            <w:proofErr w:type="spellStart"/>
            <w:r w:rsidRPr="00631F98">
              <w:rPr>
                <w:rFonts w:hint="eastAsia"/>
              </w:rPr>
              <w:t>아토르바스타틴을</w:t>
            </w:r>
            <w:proofErr w:type="spellEnd"/>
            <w:r w:rsidRPr="00631F98">
              <w:rPr>
                <w:rFonts w:hint="eastAsia"/>
              </w:rPr>
              <w:t xml:space="preserve"> 나중에 투여하면 </w:t>
            </w:r>
            <w:proofErr w:type="spellStart"/>
            <w:r w:rsidRPr="00631F98">
              <w:rPr>
                <w:rFonts w:hint="eastAsia"/>
              </w:rPr>
              <w:t>아토르바스타틴의</w:t>
            </w:r>
            <w:proofErr w:type="spellEnd"/>
            <w:r w:rsidRPr="00631F98">
              <w:rPr>
                <w:rFonts w:hint="eastAsia"/>
              </w:rPr>
              <w:t xml:space="preserve"> 혈장 농도가 유의미하게 감소한다.</w:t>
            </w:r>
          </w:p>
          <w:p w:rsidR="00631F98" w:rsidRPr="00631F98" w:rsidRDefault="00631F98" w:rsidP="007E16D9">
            <w:pPr>
              <w:pStyle w:val="a5"/>
              <w:ind w:leftChars="100" w:left="133"/>
            </w:pPr>
            <w:r w:rsidRPr="00631F98">
              <w:rPr>
                <w:rFonts w:hint="eastAsia"/>
                <w:vertAlign w:val="superscript"/>
              </w:rPr>
              <w:t>‡</w:t>
            </w:r>
            <w:r w:rsidRPr="00631F98">
              <w:rPr>
                <w:rFonts w:hint="eastAsia"/>
              </w:rPr>
              <w:t xml:space="preserve"> 이 시험에서 투여된 </w:t>
            </w:r>
            <w:proofErr w:type="spellStart"/>
            <w:r w:rsidRPr="00631F98">
              <w:rPr>
                <w:rFonts w:hint="eastAsia"/>
              </w:rPr>
              <w:t>사퀴나비르와</w:t>
            </w:r>
            <w:proofErr w:type="spellEnd"/>
            <w:r w:rsidRPr="00631F98">
              <w:rPr>
                <w:rFonts w:hint="eastAsia"/>
              </w:rPr>
              <w:t xml:space="preserve"> </w:t>
            </w:r>
            <w:proofErr w:type="spellStart"/>
            <w:r w:rsidRPr="00631F98">
              <w:rPr>
                <w:rFonts w:hint="eastAsia"/>
              </w:rPr>
              <w:t>리토나비르</w:t>
            </w:r>
            <w:proofErr w:type="spellEnd"/>
            <w:r w:rsidRPr="00631F98">
              <w:rPr>
                <w:rFonts w:hint="eastAsia"/>
              </w:rPr>
              <w:t xml:space="preserve"> 병용용량은 임상적으로 쓰이는 용량이 아니다. 임상적으로 사용되는 용량에서의 </w:t>
            </w:r>
            <w:proofErr w:type="spellStart"/>
            <w:r w:rsidRPr="00631F98">
              <w:rPr>
                <w:rFonts w:hint="eastAsia"/>
              </w:rPr>
              <w:t>아토르바스타틴</w:t>
            </w:r>
            <w:proofErr w:type="spellEnd"/>
            <w:r w:rsidRPr="00631F98">
              <w:rPr>
                <w:rFonts w:hint="eastAsia"/>
              </w:rPr>
              <w:t xml:space="preserve"> 노출 증가는 이 시험에서 관찰된 것 보다 더 높을 것이다. 따라서, 주의를 기울여야 하며, 필요한 최저 용량이 사용되어야 한다.</w:t>
            </w:r>
          </w:p>
        </w:tc>
      </w:tr>
    </w:tbl>
    <w:p w:rsidR="002B0837" w:rsidRDefault="002B0837" w:rsidP="002B0837">
      <w:pPr>
        <w:pStyle w:val="a5"/>
      </w:pPr>
    </w:p>
    <w:tbl>
      <w:tblPr>
        <w:tblW w:w="0" w:type="auto"/>
        <w:tblInd w:w="2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5385"/>
        <w:gridCol w:w="1134"/>
        <w:gridCol w:w="1103"/>
      </w:tblGrid>
      <w:tr w:rsidR="002B0837" w:rsidRPr="00631F98" w:rsidTr="00494D1F">
        <w:tc>
          <w:tcPr>
            <w:tcW w:w="94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아토르바스타틴이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병용약물의 약동학에 미치는 영향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아토르바스타틴</w:t>
            </w:r>
            <w:proofErr w:type="spellEnd"/>
          </w:p>
        </w:tc>
        <w:tc>
          <w:tcPr>
            <w:tcW w:w="7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병용약물 및 투여용량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약물/용량 (mg)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AUC 비율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&amp;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C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bscript"/>
              </w:rPr>
              <w:t>max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비율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&amp;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80 mg 1일 1회, 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lastRenderedPageBreak/>
              <w:t>15일간 투여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lastRenderedPageBreak/>
              <w:t xml:space="preserve">안티피린 600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0.89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80 mg 1일 1회, 10일간 투여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디곡신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0.25 mg 1일 1회, 20일간 투여</w:t>
            </w:r>
            <w:r w:rsidRPr="00631F98">
              <w:rPr>
                <w:rFonts w:asciiTheme="minorEastAsia" w:hAnsiTheme="minorEastAsia" w:cs="굴림" w:hint="eastAsia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1.15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1.20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40 mg 1일 1회, 22일간 투여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pStyle w:val="a5"/>
            </w:pPr>
            <w:r w:rsidRPr="00631F98">
              <w:rPr>
                <w:rFonts w:hint="eastAsia"/>
              </w:rPr>
              <w:t>경구피임제 1일 1회, 2달간 투여</w:t>
            </w:r>
          </w:p>
          <w:p w:rsidR="002B0837" w:rsidRPr="00631F98" w:rsidRDefault="002B0837" w:rsidP="00494D1F">
            <w:pPr>
              <w:pStyle w:val="a5"/>
            </w:pPr>
            <w:r w:rsidRPr="00631F98">
              <w:rPr>
                <w:rFonts w:hint="eastAsia"/>
              </w:rPr>
              <w:t xml:space="preserve">- </w:t>
            </w:r>
            <w:proofErr w:type="spellStart"/>
            <w:r w:rsidRPr="00631F98">
              <w:rPr>
                <w:rFonts w:hint="eastAsia"/>
              </w:rPr>
              <w:t>노르에티스테론</w:t>
            </w:r>
            <w:proofErr w:type="spellEnd"/>
            <w:r w:rsidRPr="00631F98">
              <w:rPr>
                <w:rFonts w:hint="eastAsia"/>
              </w:rPr>
              <w:t xml:space="preserve"> 1 mg</w:t>
            </w:r>
          </w:p>
          <w:p w:rsidR="002B0837" w:rsidRPr="00631F98" w:rsidRDefault="002B0837" w:rsidP="00494D1F">
            <w:pPr>
              <w:pStyle w:val="a5"/>
            </w:pPr>
            <w:r w:rsidRPr="00631F98">
              <w:rPr>
                <w:rFonts w:hint="eastAsia"/>
              </w:rPr>
              <w:t xml:space="preserve">- </w:t>
            </w:r>
            <w:proofErr w:type="spellStart"/>
            <w:r w:rsidRPr="00631F98">
              <w:rPr>
                <w:rFonts w:hint="eastAsia"/>
              </w:rPr>
              <w:t>에티닐에스트라디올</w:t>
            </w:r>
            <w:proofErr w:type="spellEnd"/>
            <w:r w:rsidRPr="00631F98">
              <w:rPr>
                <w:rFonts w:hint="eastAsia"/>
              </w:rPr>
              <w:t xml:space="preserve"> 35 </w:t>
            </w:r>
            <w:proofErr w:type="spellStart"/>
            <w:r w:rsidRPr="00631F98">
              <w:rPr>
                <w:rFonts w:hint="eastAsia"/>
              </w:rPr>
              <w:t>μ</w:t>
            </w:r>
            <w:proofErr w:type="spellEnd"/>
            <w:r w:rsidRPr="00631F98">
              <w:rPr>
                <w:rFonts w:hint="eastAsia"/>
              </w:rPr>
              <w:t>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pStyle w:val="a5"/>
              <w:jc w:val="center"/>
            </w:pPr>
          </w:p>
          <w:p w:rsidR="002B0837" w:rsidRPr="00631F98" w:rsidRDefault="002B0837" w:rsidP="00494D1F">
            <w:pPr>
              <w:pStyle w:val="a5"/>
              <w:jc w:val="center"/>
            </w:pPr>
            <w:r w:rsidRPr="00631F98">
              <w:rPr>
                <w:rFonts w:hint="eastAsia"/>
              </w:rPr>
              <w:t>1.28</w:t>
            </w:r>
          </w:p>
          <w:p w:rsidR="002B0837" w:rsidRPr="00631F98" w:rsidRDefault="002B0837" w:rsidP="00494D1F">
            <w:pPr>
              <w:pStyle w:val="a5"/>
              <w:jc w:val="center"/>
            </w:pPr>
            <w:r w:rsidRPr="00631F98">
              <w:rPr>
                <w:rFonts w:hint="eastAsia"/>
              </w:rPr>
              <w:t>1.19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pStyle w:val="a5"/>
              <w:jc w:val="center"/>
            </w:pPr>
          </w:p>
          <w:p w:rsidR="002B0837" w:rsidRPr="00631F98" w:rsidRDefault="002B0837" w:rsidP="00494D1F">
            <w:pPr>
              <w:pStyle w:val="a5"/>
              <w:jc w:val="center"/>
            </w:pPr>
            <w:r w:rsidRPr="00631F98">
              <w:rPr>
                <w:rFonts w:hint="eastAsia"/>
              </w:rPr>
              <w:t>1.23</w:t>
            </w:r>
          </w:p>
          <w:p w:rsidR="002B0837" w:rsidRPr="00631F98" w:rsidRDefault="002B0837" w:rsidP="00494D1F">
            <w:pPr>
              <w:pStyle w:val="a5"/>
              <w:jc w:val="center"/>
            </w:pPr>
            <w:r w:rsidRPr="00631F98">
              <w:rPr>
                <w:rFonts w:hint="eastAsia"/>
              </w:rPr>
              <w:t>1.30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10 mg 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단회투여</w:t>
            </w:r>
            <w:proofErr w:type="spellEnd"/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티프라나비르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500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200 mg 1일 2회 7일간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1.08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0.96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4일간 투여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포삼프레나비르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1400 mg 1일 2회, 14일간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0.73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0.82</w:t>
            </w:r>
          </w:p>
        </w:tc>
      </w:tr>
      <w:tr w:rsidR="002B0837" w:rsidRPr="00631F98" w:rsidTr="00494D1F"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10 mg 1일 1회, 4일간 투여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포삼프레나비르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700 mg 1일 2회/</w:t>
            </w:r>
            <w:proofErr w:type="spellStart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리토나비르</w:t>
            </w:r>
            <w:proofErr w:type="spellEnd"/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100 mg 1일 2회, 14일간 투여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0.99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631F98">
              <w:rPr>
                <w:rFonts w:asciiTheme="minorEastAsia" w:hAnsiTheme="minorEastAsia" w:cs="굴림" w:hint="eastAsia"/>
                <w:kern w:val="0"/>
                <w:szCs w:val="20"/>
              </w:rPr>
              <w:t>0.94</w:t>
            </w:r>
          </w:p>
        </w:tc>
      </w:tr>
      <w:tr w:rsidR="002B0837" w:rsidRPr="00631F98" w:rsidTr="00494D1F">
        <w:tc>
          <w:tcPr>
            <w:tcW w:w="94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0837" w:rsidRPr="00631F98" w:rsidRDefault="002B0837" w:rsidP="00494D1F">
            <w:pPr>
              <w:pStyle w:val="a5"/>
            </w:pPr>
            <w:r w:rsidRPr="00631F98">
              <w:rPr>
                <w:rFonts w:hint="eastAsia"/>
                <w:vertAlign w:val="superscript"/>
              </w:rPr>
              <w:t xml:space="preserve">&amp; </w:t>
            </w:r>
            <w:proofErr w:type="spellStart"/>
            <w:r w:rsidRPr="00631F98">
              <w:rPr>
                <w:rFonts w:hint="eastAsia"/>
              </w:rPr>
              <w:t>아토르바스타틴</w:t>
            </w:r>
            <w:proofErr w:type="spellEnd"/>
            <w:r w:rsidRPr="00631F98">
              <w:rPr>
                <w:rFonts w:hint="eastAsia"/>
              </w:rPr>
              <w:t xml:space="preserve"> 단독투여시 대비 </w:t>
            </w:r>
            <w:proofErr w:type="spellStart"/>
            <w:r w:rsidRPr="00631F98">
              <w:rPr>
                <w:rFonts w:hint="eastAsia"/>
              </w:rPr>
              <w:t>아토르바스타틴과</w:t>
            </w:r>
            <w:proofErr w:type="spellEnd"/>
            <w:r w:rsidRPr="00631F98">
              <w:rPr>
                <w:rFonts w:hint="eastAsia"/>
              </w:rPr>
              <w:t xml:space="preserve"> 병용약물 투여시의 비율.</w:t>
            </w:r>
          </w:p>
          <w:p w:rsidR="002B0837" w:rsidRPr="00631F98" w:rsidRDefault="002B0837" w:rsidP="00494D1F">
            <w:pPr>
              <w:pStyle w:val="a5"/>
            </w:pPr>
            <w:r w:rsidRPr="00631F98">
              <w:rPr>
                <w:rFonts w:hint="eastAsia"/>
                <w:vertAlign w:val="superscript"/>
              </w:rPr>
              <w:t>#</w:t>
            </w:r>
            <w:r w:rsidRPr="00631F98">
              <w:rPr>
                <w:rFonts w:hint="eastAsia"/>
              </w:rPr>
              <w:t xml:space="preserve"> 임상적 유의성은 5. 상호작용 참고</w:t>
            </w:r>
          </w:p>
        </w:tc>
      </w:tr>
    </w:tbl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6. 임부 및 수유부에 대한 투여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이 약의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성분으로 인해 임부 또는 임신하고 있을 가능성의 여성에 사용을 금한다. 임신할 가능성이 있는 여성은 적절한 피임법을 강구하여야 한다. 콜레스테롤과 그 파생물질은 배아의 성장에 매우 중요하므로 HMG-CoA 환원제 억제의 잠재적인 위험이 임신기간 동안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치료로부터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기대되는 혜택보다 더 크다. 이 약은 임신할 가능성이 없는 경우 및 태아에 대한 잠재적 위험성을 알려준 후에만 가임 연령의 여성에게 투여하며, 치료 도중에 임신사실이 발견되면 즉시 치료를 중지시키고 태아에 대한 위험성을 알려야 한다.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이 약의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성분으로 인해 수유부에 사용을 금한다. 이 약이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모유중으로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이행되는지에 대해서는 알려져 있지 않지만, 잠재적인 위험성 때문에 수유중인 유아에 이상반응이 나타날 수 있으므로, 이 약을 복용중인 여성은 수유를 해서는 안된다.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3) 임부 및 수유부에 대한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안전성은 확립되지 않았다. 인체에 대한 권장 최대용량의 50배에 해당하는 용량의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분만지연 및 연장이 나타난 것 외에 동물에 있어서 생식독성은 증명되지 않았다. 따라서, 임부에 대한 투여는 다른 안전한 대체약물이 없는 경우 및 질환 자체가 모체 및 태아에 큰 위험을 줄 경우에만 투여가 권장된다. 사람에 대한 투여 경험에서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모유 중으로 이행된다고 보고된 바 있다. 이 약을 투여하는 동안에는 수유를 중단하는 것이 권장된다. 이 약을 투여한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수태능에 대한 영향은 없었다.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7. 소아에 대한 투여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이 약은 소아에 대한 안전성 및 유효성이 확립되어 있지 않다.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8. 고령자에 대한 투여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이 약은 고령자에 대한 안전성 및 유효성이 확립되어 있지 않다.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개개 약물에 대한 정보는 아래와 같다.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일반적인 용량을 투여하는 것이 권장된다.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고령자 및 젊은 연령의 환자에게 비슷한 용량으로 투여 시, 내약성이 동일하게 양호하다.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65세 이상의 건강한 노인의 경우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혈장농도는 젊은 성인군에 비해 더 높게 나타났으나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max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40% 증가, AUC 30% 증가), LDL-콜레스테롤 저하효과는 젊은 성인군과 유사하였다.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9. 과량투여시의 처치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이 약을 인체에 과량 투여한 자료는 없다.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광범위한 혈장 단백결합 때문에, 혈액투석이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/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청소율에 유의하게 도움을 주는 것 같지는 않다.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심한 과량투여 시 과도한 말초혈관확장과 함께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반사성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빈맥도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나타날수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있다는 것이 현재까지의 자료에서 언급되었다. 또한,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전신성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저혈압의 증세가 심하고 오랫동안 지속되어 쇼크상태에 이르게 되거나 쇼크가 일어나는 치명적인 결과가 초래되었다고 보고되었다. 건강한 지원자에게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 mg을 투여한 즉시 혹은 2시간 후까지 </w:t>
      </w:r>
      <w:proofErr w:type="spellStart"/>
      <w:r w:rsidR="00545453">
        <w:rPr>
          <w:rFonts w:asciiTheme="minorEastAsia" w:hAnsiTheme="minorEastAsia" w:cs="굴림" w:hint="eastAsia"/>
          <w:kern w:val="0"/>
          <w:szCs w:val="20"/>
        </w:rPr>
        <w:t>약용탄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</w:t>
      </w:r>
      <w:r w:rsidR="00545453" w:rsidRPr="00545453">
        <w:rPr>
          <w:rFonts w:asciiTheme="minorEastAsia" w:hAnsiTheme="minorEastAsia" w:cs="굴림"/>
          <w:kern w:val="0"/>
          <w:szCs w:val="20"/>
        </w:rPr>
        <w:t>Medicinal Carbon</w:t>
      </w:r>
      <w:proofErr w:type="gramStart"/>
      <w:r w:rsidR="00545453">
        <w:rPr>
          <w:rFonts w:asciiTheme="minorEastAsia" w:hAnsiTheme="minorEastAsia" w:cs="굴림"/>
          <w:kern w:val="0"/>
          <w:szCs w:val="20"/>
        </w:rPr>
        <w:t>)</w:t>
      </w:r>
      <w:r w:rsidRPr="00631F98">
        <w:rPr>
          <w:rFonts w:asciiTheme="minorEastAsia" w:hAnsiTheme="minorEastAsia" w:cs="굴림" w:hint="eastAsia"/>
          <w:kern w:val="0"/>
          <w:szCs w:val="20"/>
        </w:rPr>
        <w:t xml:space="preserve"> 을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투여하였을 때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흡수가 유의하게 감소되었다. 일부 경우에는 위세척이 유용할 수 있다. 이 약의 과량투여로 인한 임상적으로 심각한 저혈압은 심장과 호흡기능을 자주 모니터링 하고, 사지의 위치를 몸체보다 높게 유지하여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혈액등과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같은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순환체액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요배설량을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충분히 확보하는 등의 적극적인 심혈관계에 대한 보조요법을 필요로 한다. 혈관수축제 사용을 금기하는 특별한 경우가 아니라면, 혈관긴장도 및 혈압을 회복하는데 혈관수축제가 유용할 수 있다.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칼슘채널저해제의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효과를 반전시키는데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칼슘글루콘산염의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정맥투여가 유용할 수 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단백결합율이 매우 높으므로 혈액투석은 도움이 되지 않는다.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과량복용에 적용할 수 있는 특별한 처치방법은 없다. 과량복용 시 환자는 반드시 증상적으로 치료하여야 하며 필요 시 대증요법을 시행하여야 한다. 간기능 검사 및 혈청 CK치를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모니터링하여야한다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광범위하게 혈장단백 결합을 하기 때문에 혈액투석은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청소율을 유의하게 증가시키지 않는다.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10. 기타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전임상 자료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암로디핀과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조합이 고정된 연구는 실행된 바가 없다.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1) 발암성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0.5, 1.25, 2.5 mg/kg/day을 2년 동안 먹이 속에 투여한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및 마우스에서 발암성의 증거는 나타나지 않았다. 또한, 이 시험에서 투여된 최고용량은 마우스의 최대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내약성용량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(Maximum Tolerating Dose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근접하였다 (마우스에서는 mg/m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perscript"/>
        </w:rPr>
        <w:t>2</w:t>
      </w:r>
      <w:r w:rsidRPr="00631F98">
        <w:rPr>
          <w:rFonts w:asciiTheme="minorEastAsia" w:hAnsiTheme="minorEastAsia" w:cs="굴림" w:hint="eastAsia"/>
          <w:kern w:val="0"/>
          <w:szCs w:val="20"/>
        </w:rPr>
        <w:t xml:space="preserve"> 기준으로 임상 최대 권장용량인 10 mg에 근접한 용량,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랫드에서는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임상 최대 권장용량의 2배*).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* 환자의 체중 50 kg 기준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kg당 mg으로 환산한 체중 기준으로 인체의 최고용량 (80 mg/day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의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63배 용량, 즉 AUC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0-24</w:t>
      </w:r>
      <w:r w:rsidRPr="00631F98">
        <w:rPr>
          <w:rFonts w:asciiTheme="minorEastAsia" w:hAnsiTheme="minorEastAsia" w:cs="굴림" w:hint="eastAsia"/>
          <w:kern w:val="0"/>
          <w:szCs w:val="20"/>
        </w:rPr>
        <w:t xml:space="preserve">를 기준으로 8-16배 고용량을 사용한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실험에서 발암성이 없었다. Kg당 mg으로 환산한 체중기준으로 인체사용 최고용량보다 250배 높은 용량을 투여한 2년간의 마우스 시험 결과는 최고용량 사용군에서 수컷은 간세포 선종, 암컷은 간세포암의 발생율이 증가하였다. 전신노출은 AUC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bscript"/>
        </w:rPr>
        <w:t>0-24</w:t>
      </w:r>
      <w:r w:rsidRPr="00631F98">
        <w:rPr>
          <w:rFonts w:asciiTheme="minorEastAsia" w:hAnsiTheme="minorEastAsia" w:cs="굴림" w:hint="eastAsia"/>
          <w:kern w:val="0"/>
          <w:szCs w:val="20"/>
        </w:rPr>
        <w:t xml:space="preserve">에 기준 6-11배 높았다.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이계열의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, 화학적으로 유사한 모든 다른 약물은 마우스 및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kg당mg으로 환산한 체중 기준으로 해당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임상최고권장용량의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12-125 배 반복투여에서 종양을 유발하였다.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2) 돌연변이성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돌연변이 시험에서 이 약은 유전자 혹은 염색체 수치에 영향을 미치지 않았다.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4종의 시험관내 시험 및 1종의 인체내 시험에서 이 약은 대사활동의 여부에 관계없이 돌연변이 가능성을 보이지 않았다.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Salmonella typhimurium 및 Escherichia coli를 이용한 Ames test 및 Chinese햄스터 폐세포를 이용한 시험관내 HGPRT forward mutation 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assay 에서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음성이었다.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시험관내 Chinese 햄스터 폐세포실험에서 염색체 이상을 유의하게 증가시키지 않았고, 생체내 마우스 소핵실험에서 음성이었다.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3) 생식능력 이상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(1)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10 mg/kg/day용량까지의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암로디핀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(mg/m</w:t>
      </w:r>
      <w:r w:rsidRPr="00631F98">
        <w:rPr>
          <w:rFonts w:asciiTheme="minorEastAsia" w:hAnsiTheme="minorEastAsia" w:cs="굴림" w:hint="eastAsia"/>
          <w:kern w:val="0"/>
          <w:sz w:val="15"/>
          <w:szCs w:val="15"/>
          <w:vertAlign w:val="superscript"/>
        </w:rPr>
        <w:t>2</w:t>
      </w:r>
      <w:r w:rsidRPr="00631F98">
        <w:rPr>
          <w:rFonts w:asciiTheme="minorEastAsia" w:hAnsiTheme="minorEastAsia" w:cs="굴림" w:hint="eastAsia"/>
          <w:kern w:val="0"/>
          <w:szCs w:val="20"/>
        </w:rPr>
        <w:t>기준으로 임상 최고 권장용량인 10 mg의 8배*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으로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처치한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(교미전에 수컷은 64일 동안, 암컷은14일 동안 처치)에서 생식능력에 대한 영향은 나타나지 않았다.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* 환자의 체중 50 kg 기준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(2)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: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최고 175 mg/kg/day까지 투여한 수컷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혹은 최고 225 mg/kg/day까지 투여한 암컷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랫드에서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수태능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혹은 생식능에 부정적인 영향은 없었다. 이 용량은 kg당 mg으로 환산한 인체사용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최고권장용량의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100-140배 용량이었다. 수컷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랫드에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대한 생식독성실험에서 11주 동안 100 mg/kg/day 투여 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정자수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감소,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정자운동량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감소 및 정자이상이 증가되었다. 10 mg/kg, 40 mg/kg, 120 mg/kg 용량의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아토르바스타틴을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2년간 개에 투여 시 정자 혹은 정액 파라미터, 생식 기관의 조직병리에 부정적인 영향은 없었다.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4) 중추신경계 독성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아토르바스타틴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: 이 계열의 화학적으로 유사한 약물 (인체최대투여용량의 약 30배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해당되는 약물을 투여한 개에서 용량 의존적으로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시신경변성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(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망막슬상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섬유의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왈러변성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>) 을 유발한다.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lastRenderedPageBreak/>
        <w:t>(1) 120 mg/kg/day (인체최대투여용량의 약 16배) 로 3개월 간 투여한 암컷 개에서 뇌출혈이 관찰되었다. 280 mg/kg/day까지 용량을 증가시켜 투여한 암컷 개에서 11주 후에 뇌출혈 및 시신경 공포형성이 관찰되었다.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(2) 2년간 시험의 수컷 개 (2마리: 10 mg/kg/day, 120 mg/kg/day</w:t>
      </w:r>
      <w:proofErr w:type="gramStart"/>
      <w:r w:rsidRPr="00631F98">
        <w:rPr>
          <w:rFonts w:asciiTheme="minorEastAsia" w:hAnsiTheme="minorEastAsia" w:cs="굴림" w:hint="eastAsia"/>
          <w:kern w:val="0"/>
          <w:szCs w:val="20"/>
        </w:rPr>
        <w:t>) 에서</w:t>
      </w:r>
      <w:proofErr w:type="gram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단회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강직성 경련이 관찰되었다.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 xml:space="preserve">(3) 중추신경계 혈관손상 (혈관주위 출혈, 부종 및 혈관주위 공간에서의 단핵세포 침윤) 이 </w:t>
      </w:r>
      <w:proofErr w:type="spellStart"/>
      <w:r w:rsidRPr="00631F98">
        <w:rPr>
          <w:rFonts w:asciiTheme="minorEastAsia" w:hAnsiTheme="minorEastAsia" w:cs="굴림" w:hint="eastAsia"/>
          <w:kern w:val="0"/>
          <w:szCs w:val="20"/>
        </w:rPr>
        <w:t>이</w:t>
      </w:r>
      <w:proofErr w:type="spellEnd"/>
      <w:r w:rsidRPr="00631F98">
        <w:rPr>
          <w:rFonts w:asciiTheme="minorEastAsia" w:hAnsiTheme="minorEastAsia" w:cs="굴림" w:hint="eastAsia"/>
          <w:kern w:val="0"/>
          <w:szCs w:val="20"/>
        </w:rPr>
        <w:t xml:space="preserve"> 계열의 다른 약물들이 투여된 개에서도 관찰된다.</w:t>
      </w:r>
    </w:p>
    <w:p w:rsidR="00631F98" w:rsidRPr="00631F98" w:rsidRDefault="00631F98" w:rsidP="00631F9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11. 보관 및 취급상의 주의사항</w:t>
      </w:r>
    </w:p>
    <w:p w:rsidR="00631F98" w:rsidRPr="00631F98" w:rsidRDefault="00631F98" w:rsidP="007E16D9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1) 어린이의 손이 닿지 않는 곳에 보관한다.</w:t>
      </w:r>
    </w:p>
    <w:p w:rsidR="00922401" w:rsidRPr="008D7CF0" w:rsidRDefault="00631F98" w:rsidP="008D7CF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70" w:lineRule="atLeast"/>
        <w:ind w:leftChars="201" w:left="266"/>
        <w:jc w:val="left"/>
        <w:rPr>
          <w:rFonts w:asciiTheme="minorEastAsia" w:hAnsiTheme="minorEastAsia" w:cs="굴림"/>
          <w:kern w:val="0"/>
          <w:szCs w:val="20"/>
        </w:rPr>
      </w:pPr>
      <w:r w:rsidRPr="00631F98">
        <w:rPr>
          <w:rFonts w:asciiTheme="minorEastAsia" w:hAnsiTheme="minorEastAsia" w:cs="굴림" w:hint="eastAsia"/>
          <w:kern w:val="0"/>
          <w:szCs w:val="20"/>
        </w:rPr>
        <w:t>2) 다른 용기에 바꾸어 넣는 것은 사고원인이 되거나 품질유지면에서 바람직하지 않으므로 이를 주의한다.</w:t>
      </w:r>
    </w:p>
    <w:sectPr w:rsidR="00922401" w:rsidRPr="008D7CF0" w:rsidSect="0073480E">
      <w:headerReference w:type="default" r:id="rId6"/>
      <w:footerReference w:type="default" r:id="rId7"/>
      <w:pgSz w:w="11906" w:h="16838"/>
      <w:pgMar w:top="851" w:right="1077" w:bottom="851" w:left="1077" w:header="45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A5D" w:rsidRDefault="006C4A5D" w:rsidP="00631F98">
      <w:pPr>
        <w:spacing w:after="0" w:line="240" w:lineRule="auto"/>
      </w:pPr>
      <w:r>
        <w:separator/>
      </w:r>
    </w:p>
  </w:endnote>
  <w:endnote w:type="continuationSeparator" w:id="0">
    <w:p w:rsidR="006C4A5D" w:rsidRDefault="006C4A5D" w:rsidP="0063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3199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:rsidR="00863945" w:rsidRPr="0073480E" w:rsidRDefault="00863945" w:rsidP="00863945">
        <w:pPr>
          <w:pStyle w:val="a5"/>
          <w:jc w:val="center"/>
          <w:rPr>
            <w:sz w:val="18"/>
            <w:szCs w:val="20"/>
          </w:rPr>
        </w:pPr>
      </w:p>
      <w:p w:rsidR="00631F98" w:rsidRPr="0073480E" w:rsidRDefault="00863945" w:rsidP="00863945">
        <w:pPr>
          <w:pStyle w:val="a5"/>
          <w:ind w:right="264"/>
          <w:jc w:val="right"/>
          <w:rPr>
            <w:sz w:val="18"/>
            <w:szCs w:val="20"/>
          </w:rPr>
        </w:pPr>
        <w:r w:rsidRPr="0073480E">
          <w:rPr>
            <w:sz w:val="18"/>
            <w:szCs w:val="20"/>
          </w:rPr>
          <w:t xml:space="preserve">2020.03.20 </w:t>
        </w:r>
        <w:r w:rsidRPr="0073480E">
          <w:rPr>
            <w:rFonts w:hint="eastAsia"/>
            <w:sz w:val="18"/>
            <w:szCs w:val="20"/>
          </w:rPr>
          <w:t>사용상의 주의사항(의약품정책과-</w:t>
        </w:r>
        <w:r w:rsidRPr="0073480E">
          <w:rPr>
            <w:sz w:val="18"/>
            <w:szCs w:val="20"/>
          </w:rPr>
          <w:t>9931, 2019.09.04)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A5D" w:rsidRDefault="006C4A5D" w:rsidP="00631F98">
      <w:pPr>
        <w:spacing w:after="0" w:line="240" w:lineRule="auto"/>
      </w:pPr>
      <w:r>
        <w:separator/>
      </w:r>
    </w:p>
  </w:footnote>
  <w:footnote w:type="continuationSeparator" w:id="0">
    <w:p w:rsidR="006C4A5D" w:rsidRDefault="006C4A5D" w:rsidP="0063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CF0" w:rsidRPr="0073480E" w:rsidRDefault="00631F98" w:rsidP="00863945">
    <w:pPr>
      <w:pStyle w:val="a5"/>
      <w:jc w:val="right"/>
      <w:rPr>
        <w:sz w:val="18"/>
        <w:szCs w:val="20"/>
      </w:rPr>
    </w:pPr>
    <w:r w:rsidRPr="0073480E">
      <w:rPr>
        <w:rFonts w:hint="eastAsia"/>
        <w:sz w:val="18"/>
        <w:szCs w:val="20"/>
      </w:rPr>
      <w:t>[허가사항 변경지시(의약품정책과-</w:t>
    </w:r>
    <w:r w:rsidRPr="0073480E">
      <w:rPr>
        <w:sz w:val="18"/>
        <w:szCs w:val="20"/>
      </w:rPr>
      <w:t>9931, 2019.09.04) ‘</w:t>
    </w:r>
    <w:r w:rsidRPr="0073480E">
      <w:rPr>
        <w:rFonts w:hint="eastAsia"/>
        <w:sz w:val="18"/>
        <w:szCs w:val="20"/>
      </w:rPr>
      <w:t>활성탄</w:t>
    </w:r>
    <w:r w:rsidRPr="0073480E">
      <w:rPr>
        <w:sz w:val="18"/>
        <w:szCs w:val="20"/>
      </w:rPr>
      <w:t>’</w:t>
    </w:r>
    <w:r w:rsidRPr="0073480E">
      <w:rPr>
        <w:rFonts w:eastAsiaTheme="minorHAnsi"/>
        <w:sz w:val="18"/>
        <w:szCs w:val="20"/>
      </w:rPr>
      <w:t>→</w:t>
    </w:r>
    <w:r w:rsidRPr="0073480E">
      <w:rPr>
        <w:sz w:val="18"/>
        <w:szCs w:val="20"/>
      </w:rPr>
      <w:t>’</w:t>
    </w:r>
    <w:proofErr w:type="spellStart"/>
    <w:r w:rsidRPr="0073480E">
      <w:rPr>
        <w:rFonts w:hint="eastAsia"/>
        <w:sz w:val="18"/>
        <w:szCs w:val="20"/>
      </w:rPr>
      <w:t>약용탄</w:t>
    </w:r>
    <w:proofErr w:type="spellEnd"/>
    <w:r w:rsidRPr="0073480E">
      <w:rPr>
        <w:sz w:val="18"/>
        <w:szCs w:val="20"/>
      </w:rPr>
      <w:t xml:space="preserve">’ </w:t>
    </w:r>
    <w:r w:rsidRPr="0073480E">
      <w:rPr>
        <w:rFonts w:hint="eastAsia"/>
        <w:sz w:val="18"/>
        <w:szCs w:val="20"/>
      </w:rPr>
      <w:t>변경</w:t>
    </w:r>
    <w:r w:rsidRPr="0073480E">
      <w:rPr>
        <w:sz w:val="18"/>
        <w:szCs w:val="20"/>
      </w:rPr>
      <w:t>]</w:t>
    </w:r>
  </w:p>
  <w:p w:rsidR="00863945" w:rsidRPr="0073480E" w:rsidRDefault="00863945" w:rsidP="00863945">
    <w:pPr>
      <w:pStyle w:val="a5"/>
      <w:jc w:val="right"/>
      <w:rPr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1F98"/>
    <w:rsid w:val="002A2DD3"/>
    <w:rsid w:val="002B0837"/>
    <w:rsid w:val="00444EF0"/>
    <w:rsid w:val="00545453"/>
    <w:rsid w:val="00600E28"/>
    <w:rsid w:val="00631F98"/>
    <w:rsid w:val="006C4A5D"/>
    <w:rsid w:val="0073480E"/>
    <w:rsid w:val="007E16D9"/>
    <w:rsid w:val="00863945"/>
    <w:rsid w:val="00866897"/>
    <w:rsid w:val="008D7CF0"/>
    <w:rsid w:val="00922401"/>
    <w:rsid w:val="009F1F9C"/>
    <w:rsid w:val="00A4221C"/>
    <w:rsid w:val="00D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498A"/>
  <w15:chartTrackingRefBased/>
  <w15:docId w15:val="{303F1385-A2BB-470D-862B-ED3C355B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제목1"/>
    <w:basedOn w:val="a"/>
    <w:rsid w:val="00631F9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dent0">
    <w:name w:val="indent0"/>
    <w:basedOn w:val="a"/>
    <w:rsid w:val="00631F9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31F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1F98"/>
  </w:style>
  <w:style w:type="paragraph" w:styleId="a4">
    <w:name w:val="footer"/>
    <w:basedOn w:val="a"/>
    <w:link w:val="Char0"/>
    <w:uiPriority w:val="99"/>
    <w:unhideWhenUsed/>
    <w:rsid w:val="00631F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1F98"/>
  </w:style>
  <w:style w:type="paragraph" w:styleId="a5">
    <w:name w:val="No Spacing"/>
    <w:uiPriority w:val="1"/>
    <w:qFormat/>
    <w:rsid w:val="00631F98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1"/>
    <w:uiPriority w:val="99"/>
    <w:semiHidden/>
    <w:unhideWhenUsed/>
    <w:rsid w:val="007348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34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97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FFFFFF"/>
                            <w:left w:val="single" w:sz="6" w:space="0" w:color="FFFFFF"/>
                            <w:bottom w:val="single" w:sz="6" w:space="4" w:color="FFFFFF"/>
                            <w:right w:val="single" w:sz="6" w:space="0" w:color="FFFFFF"/>
                          </w:divBdr>
                          <w:divsChild>
                            <w:div w:id="20587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4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개발1팀</dc:creator>
  <cp:keywords/>
  <dc:description/>
  <cp:lastModifiedBy>개발1팀</cp:lastModifiedBy>
  <cp:revision>9</cp:revision>
  <cp:lastPrinted>2020-03-23T07:38:00Z</cp:lastPrinted>
  <dcterms:created xsi:type="dcterms:W3CDTF">2020-03-19T07:01:00Z</dcterms:created>
  <dcterms:modified xsi:type="dcterms:W3CDTF">2020-03-23T07:42:00Z</dcterms:modified>
</cp:coreProperties>
</file>